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30" w:rsidRPr="0063671B" w:rsidRDefault="00915730" w:rsidP="0091573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BD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E1">
        <w:rPr>
          <w:rFonts w:ascii="Times New Roman" w:hAnsi="Times New Roman" w:cs="Times New Roman"/>
          <w:b/>
          <w:sz w:val="28"/>
          <w:szCs w:val="28"/>
        </w:rPr>
        <w:t>6</w:t>
      </w:r>
    </w:p>
    <w:p w:rsidR="00915730" w:rsidRDefault="00915730" w:rsidP="009157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практичного заняття з дисципліни «Хірургія» до теми «Перитоніт»</w:t>
      </w:r>
    </w:p>
    <w:p w:rsidR="00915730" w:rsidRPr="00FE4B1D" w:rsidRDefault="00915730" w:rsidP="001053B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FE4B1D">
        <w:rPr>
          <w:rFonts w:ascii="Times New Roman" w:hAnsi="Times New Roman" w:cs="Times New Roman"/>
          <w:b/>
          <w:sz w:val="24"/>
          <w:szCs w:val="24"/>
        </w:rPr>
        <w:t>Актуальність теми.</w:t>
      </w:r>
      <w:r w:rsidR="00FE4B1D" w:rsidRPr="00FE4B1D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FE4B1D" w:rsidRPr="00FE4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Однією з поширених захворювань черевної порожнини є перитоніт. </w:t>
      </w:r>
      <w:r w:rsidR="00FE4B1D" w:rsidRPr="00FE4B1D">
        <w:rPr>
          <w:rFonts w:ascii="Times New Roman" w:hAnsi="Times New Roman" w:cs="Times New Roman"/>
          <w:color w:val="231F20"/>
          <w:sz w:val="24"/>
          <w:szCs w:val="24"/>
        </w:rPr>
        <w:t>Перитоніт</w:t>
      </w:r>
      <w:r w:rsidR="00FE4B1D" w:rsidRPr="00FE4B1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– </w:t>
      </w:r>
      <w:r w:rsidR="00FE4B1D" w:rsidRPr="00FE4B1D">
        <w:rPr>
          <w:rFonts w:ascii="Times New Roman" w:hAnsi="Times New Roman" w:cs="Times New Roman"/>
          <w:color w:val="231F20"/>
          <w:sz w:val="24"/>
          <w:szCs w:val="24"/>
        </w:rPr>
        <w:t>це гостре або хронічне запалення очеревини</w:t>
      </w:r>
      <w:r w:rsidR="00FE4B1D" w:rsidRPr="00FE4B1D">
        <w:rPr>
          <w:rFonts w:ascii="Times New Roman" w:hAnsi="Times New Roman" w:cs="Times New Roman"/>
          <w:i/>
          <w:iCs/>
          <w:color w:val="231F20"/>
          <w:sz w:val="24"/>
          <w:szCs w:val="24"/>
        </w:rPr>
        <w:t>,</w:t>
      </w:r>
      <w:r w:rsidR="00FE4B1D" w:rsidRPr="00FE4B1D">
        <w:rPr>
          <w:rFonts w:ascii="Times New Roman" w:hAnsi="Times New Roman" w:cs="Times New Roman"/>
          <w:color w:val="231F20"/>
          <w:sz w:val="24"/>
          <w:szCs w:val="24"/>
        </w:rPr>
        <w:t xml:space="preserve"> яке супроводжується як місцевими, так і загальними ознаками захворювання, а також вираженими порушеннями функцій </w:t>
      </w:r>
      <w:proofErr w:type="spellStart"/>
      <w:r w:rsidR="00FE4B1D" w:rsidRPr="00FE4B1D">
        <w:rPr>
          <w:rFonts w:ascii="Times New Roman" w:hAnsi="Times New Roman" w:cs="Times New Roman"/>
          <w:color w:val="231F20"/>
          <w:sz w:val="24"/>
          <w:szCs w:val="24"/>
        </w:rPr>
        <w:t>життєво</w:t>
      </w:r>
      <w:proofErr w:type="spellEnd"/>
      <w:r w:rsidR="00FE4B1D" w:rsidRPr="00FE4B1D">
        <w:rPr>
          <w:rFonts w:ascii="Times New Roman" w:hAnsi="Times New Roman" w:cs="Times New Roman"/>
          <w:color w:val="231F20"/>
          <w:sz w:val="24"/>
          <w:szCs w:val="24"/>
        </w:rPr>
        <w:t xml:space="preserve"> важливих органів і систем організму.</w:t>
      </w:r>
      <w:r w:rsidR="00FE4B1D" w:rsidRPr="00FE4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 жаль, не всі здатні розпізнати перитоніт до початку серйозних ускладнень. Деякі хворі намагаються зняти симптоми знеболювальними препаратами або гріють живіт </w:t>
      </w:r>
      <w:r w:rsidR="0063671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грілкою </w:t>
      </w:r>
      <w:r w:rsidR="00FE4B1D" w:rsidRPr="00FE4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та тільки погіршують ситуацію. Вміння розпізнавати прості симптоми та вчасне звернення до лікаря рятує життя.</w:t>
      </w:r>
    </w:p>
    <w:p w:rsidR="00FE4B1D" w:rsidRDefault="00915730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Конкретні цілі</w:t>
      </w:r>
      <w:r w:rsidR="0063671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заняття: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915730" w:rsidRDefault="00915730" w:rsidP="0091573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3E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2.1.</w:t>
      </w:r>
      <w:r w:rsidRPr="00F73EDC">
        <w:rPr>
          <w:rFonts w:ascii="Times New Roman CYR" w:hAnsi="Times New Roman CYR" w:cs="Times New Roman CYR"/>
          <w:b/>
          <w:iCs/>
          <w:color w:val="000000"/>
          <w:sz w:val="24"/>
          <w:szCs w:val="24"/>
        </w:rPr>
        <w:t>Знати</w:t>
      </w:r>
      <w:r w:rsidRPr="00F73ED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основні положення щодо етіології, патогенезу, класифікації гострого перитоніту. Клінічну картину перитоніту. Лікувальну тактику при гострому перитоніті.</w:t>
      </w:r>
    </w:p>
    <w:p w:rsidR="00FE4B1D" w:rsidRDefault="00915730" w:rsidP="009157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 також знати: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анатомо-фізіологічні процеси очеревини в нормі та при розвитку перитоніту;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визначення терміну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перитоніт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етіологію, патогенез, класифікацію гострого перитоніту в залежності від поширеності запального процесу та стадії клінічного перебігу;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знати типову клінічну картину гострого місцевого та поширеного перитоніту;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знати методи лабораторних та інструментальних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лапароскопічних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УЗ досліджень) при гострому місцевому та поширеному перитоніті;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знати диференційну діагностику гострого перитоніту з іншими патологічними станами;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засвоїти лікувальну тактику при місцевому та поширеному гострому перитоніті: показання до застосування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пункційних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методів під контролем УЗД та методу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засвоїти принципи сучасної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антибіотикотерапії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перитоніті та багатокомпонентної багатоцільової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терапії; </w:t>
      </w:r>
    </w:p>
    <w:p w:rsidR="00FE4B1D" w:rsidRDefault="00915730" w:rsidP="006367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ведення післяопераційного періоду (прогноз, реабілітація хворих). </w:t>
      </w:r>
    </w:p>
    <w:p w:rsidR="002B094A" w:rsidRDefault="00915730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73E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2.2.</w:t>
      </w:r>
      <w:r w:rsidR="00FE4B1D" w:rsidRPr="00F73ED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F73EDC">
        <w:rPr>
          <w:rFonts w:ascii="Times New Roman CYR" w:hAnsi="Times New Roman CYR" w:cs="Times New Roman CYR"/>
          <w:b/>
          <w:iCs/>
          <w:color w:val="000000"/>
          <w:sz w:val="24"/>
          <w:szCs w:val="24"/>
        </w:rPr>
        <w:t>Вміти: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2B094A" w:rsidRDefault="002B094A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збирати скарги, анамнез хвороби;</w:t>
      </w:r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B094A" w:rsidRDefault="002B094A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proofErr w:type="spellStart"/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>методично</w:t>
      </w:r>
      <w:proofErr w:type="spellEnd"/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правильно проводити огляд хворого (наявність </w:t>
      </w:r>
      <w:proofErr w:type="spellStart"/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91573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>язевого</w:t>
      </w:r>
      <w:proofErr w:type="spellEnd"/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захисту, напруження черевної стінки, визначення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имптомів подразнення очеревини);</w:t>
      </w:r>
    </w:p>
    <w:p w:rsidR="00915730" w:rsidRPr="00FE4B1D" w:rsidRDefault="002B094A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формулювати діагноз, обирати найбільш </w:t>
      </w:r>
      <w:r w:rsidR="00FE4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730">
        <w:rPr>
          <w:rFonts w:ascii="Times New Roman CYR" w:hAnsi="Times New Roman CYR" w:cs="Times New Roman CYR"/>
          <w:color w:val="000000"/>
          <w:sz w:val="24"/>
          <w:szCs w:val="24"/>
        </w:rPr>
        <w:t>інформативні додаткові методи діагностики та лікувальну тактику при розвитку перитоніту.</w:t>
      </w:r>
    </w:p>
    <w:p w:rsidR="00FE4B1D" w:rsidRDefault="00915730" w:rsidP="001053BA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Також вміти: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клінічні, діагностичні дослідження у хворого на гострий перитоніт: зібрати анамнез, здійснити огляд хворого, пальпацію, перкусію аускультацію, ректальне дослідження; </w:t>
      </w:r>
    </w:p>
    <w:p w:rsidR="00FE4B1D" w:rsidRDefault="00915730" w:rsidP="0063671B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визначити найбільш характерні клінічні ознаки місцевого та поширеного перитоніту;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скласти план обстеження хворого з перитонітом; </w:t>
      </w:r>
    </w:p>
    <w:p w:rsidR="00FE4B1D" w:rsidRDefault="00915730" w:rsidP="0063671B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інтерпритувати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результати лабораторних та інструментальних досліджень; </w:t>
      </w:r>
    </w:p>
    <w:p w:rsidR="00FE4B1D" w:rsidRDefault="00915730" w:rsidP="0063671B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визначити показання до вибору оптимального способу лікування хворого з місцевим та поширеним перитонітом;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підготовку хворого до оперативного втручання;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здійснити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курацію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хворого з написанням історії хвороби;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призначити консервативне лікування у післяопераційному періоді;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виконувати наступні маніпуляції: декомпресію шлунку,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інтубованого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кишечника, 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язки, догляд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дренажами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черевної порожнини,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інтубаційним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зондом;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використовувати навчальну та наукову літературу,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вкючаючи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інтернет, для вирішення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профісійних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завдань та підвищення рівня підготовки;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здійснювати прогноз перебігу захворювання та працездатності;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володіти технічними прийомами ведення хворого у післяопераційному періоді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оцінювати стан рани, у разі потреби проводити її ревізію, доглядати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дренажами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оцінювати характер виділень з них, видаляти дренажі, знімати шви);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володіти хірургічними методами лікування у разі ранніх та пізніх ускладнень в рані;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оформити клінічну історію хвороби пацієнта з перитонітом; </w:t>
      </w:r>
    </w:p>
    <w:p w:rsidR="00FE4B1D" w:rsidRDefault="00915730" w:rsidP="0063671B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користуватись деонтологічними принципами спілкування з хворим та його родичами, співробітниками. </w:t>
      </w:r>
    </w:p>
    <w:p w:rsidR="00FE4B1D" w:rsidRDefault="00915730" w:rsidP="001053BA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3ED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2.3.</w:t>
      </w:r>
      <w:r w:rsidR="00FE4B1D" w:rsidRPr="00F73ED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F73EDC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Розвивати творчі здібності на основі вивченого клінічного та діагностичного матеріалу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інтерпретувати зібрану діагностичну інформацію, правильно її аналізувати та на підставі інтегральної оцінки зібраних даних встановлювати діагноз; визначати лікувальну тактику та наявності ускладнень у пацієнтів з місцевим та поширеним перитонітом. </w:t>
      </w:r>
    </w:p>
    <w:p w:rsidR="00193488" w:rsidRDefault="00915730" w:rsidP="001053BA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3ED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2.4.</w:t>
      </w:r>
      <w:r w:rsidRPr="00F73EDC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Виховні цілі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сформувати деонтологічні уявлення при роботі з хворими на перитоніт, оволодіти вмінням встановлювати психологічний контакт з даною категорією хворих та їх родичами, розвивати почуття відповідальності за своєчасність та правильність професійних дій.</w:t>
      </w:r>
    </w:p>
    <w:p w:rsidR="002B094A" w:rsidRDefault="0084053B" w:rsidP="00F73E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А.</w:t>
      </w:r>
      <w:r w:rsidR="00F73EDC" w:rsidRP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</w:t>
      </w:r>
      <w:r w:rsid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Завдання для самоконтролю:</w:t>
      </w:r>
      <w:r w:rsidRP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2B09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Скільки шарів має очеревина і чи однакова їх кількість в різних</w:t>
      </w:r>
      <w:r w:rsidR="00F73EDC"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ділянках черевної порожнини?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(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мезотелій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; 2) базальна мембрана; 3) поверхневий хвилястий колагеновий шар; 4)  поверхнева дифузна еластична сітка; 5) глибока подовжена еластична сітка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),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6) глибокий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гратчастий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колагеново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-еластичний шар; 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2B09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Які основні фізіологічні функції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очревини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? 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(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а. 1) всмоктувальна або резорбційна функція; 2)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вид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іляюча</w:t>
      </w:r>
      <w:proofErr w:type="spellEnd"/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або </w:t>
      </w:r>
      <w:proofErr w:type="spellStart"/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тран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судаційна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функція; 3) захисна, або бар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єрна функція; 4) пластична функція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)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84053B" w:rsidRP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2B09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патологічні стани, які призводять до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виникнення гострого перитоніту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ланки патогенезу гострого перитоніту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Вкажіть фактори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ендотоксикозу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при гострому перито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ніті;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Вкажіть класифікацію гострого перитоніту за поширенням запального процесу в черевній порожнині. </w:t>
      </w:r>
    </w:p>
    <w:p w:rsidR="002B094A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Стадії клінічного перебігу гострого перитоніту</w:t>
      </w:r>
      <w:r w:rsid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F64C6E" w:rsidRDefault="0084053B" w:rsidP="002B09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основні клінічні ознаки реактивної стадії поширеного перитоніту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Вкажіть основні клінічні ознаки токсичної 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стадії поширеного перитоніту;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Вкажіть основні клінічні ознаки термінальної стадії поширеного перитоніту а. 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Ознаки місцевого перитоніту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патологічні стани які найчастіше супроводжуються місцевим перитонітом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Рентгенолог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ічні ознаки гострого перитоніту;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додаткові інструментальні методи досл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ідження при гострому перитоніті;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Вкажіть ознаки УЗД при гострому поширеному перитоніті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Основні принципи лікування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гострого поширеного перитоніту;</w:t>
      </w:r>
    </w:p>
    <w:p w:rsidR="0084053B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У чому полягає завдання оперативного втручання при гострому поширеному п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еритоніті.</w:t>
      </w:r>
    </w:p>
    <w:p w:rsidR="00F64C6E" w:rsidRPr="00F64C6E" w:rsidRDefault="00F64C6E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4C6E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Б.</w:t>
      </w:r>
      <w:r w:rsidR="00F64C6E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Ситуаційні задачі для самоконтролю: </w:t>
      </w:r>
    </w:p>
    <w:p w:rsidR="0084053B" w:rsidRPr="002B094A" w:rsidRDefault="0084053B" w:rsidP="00F64C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Хворий віком 14 років скаржиться на біль в животі без чіткої локалізації, блювання, рідкий стілець. Хворіє протягом 12 годин. Спочатку біль виник 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епігастральній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ділянці. Через 4 години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відмічено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міграцію болю в праву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епігастральну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ділянку та поширення на всю черевну порожнину. При огляді язик вологий, живіт не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>надутий, обмежено приймає участь в акті дихання. Симптоми подразнення очеревини виражені не чітко. Температура тіла 37,6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С, Пульс 90 ударів за хв. А/т 120/70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Лейкоцитоз 12,4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9.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При оглядовій рентгенографії живота встановлено помірну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аероентерію</w:t>
      </w:r>
      <w:proofErr w:type="spellEnd"/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, вільного газу в че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ревній порожнині не встановлено.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та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обгрунтуйте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попередній діагноз. Визначте подальшу лікувально-діагностичну тактику.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 хворого після падіння з висоти виник помірний біль у животі, було одноразове блювання. При огляді шкірні покрови звичайного кольору, язик вологий, живіт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надутий, при пальпації визначається біль у лівій його половині, симптоми подразнення очеревини сумнівні. Температура тіла 37,2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С, Пульс 94 ударів за хв. А/т 120/70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Лейкоцитоз 14,3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11.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оглядовій рентгенографії живота встановлено помірну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аероентерію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вільного газу в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чаревній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порожнині не встановлено.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попередній діагноз. Визначте подальшу лікувально-діагностичну тактику у цього потерпілого.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 хворого 57 років, який страждає цирозом печінки, внаслідок хронічної алкогольної інтоксикації, виник помірний біль у животі. При огляді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склери та шкірні покрови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жовтушні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Живіт збільшений у розмірах за рахунок асциту. Температура тіла 38,2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С, Пульс 104 удари за хв. А/т 110/60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Лейкоцитоз 17,3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14.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УЗД органів черевної порожнини встановлено ознаки цирозу печінки, значну кількість рідини у вільній черевній порожнині.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попередній діагноз. Визначте додаткові методи дослідження для підтвердження цього діагнозу.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Хворий 32 років, який страждає на виразкову хворобу дванадцятипалої кишки відчув біль 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епігастральній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ділянці, інтенсивність якого зменшилася через 3 години після виникнення. На 3 добу хворий почав скаржитися на біль в правому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, нудоту, підвищення температури тіла до 38,0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При пальпації у правому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визначається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256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позитивний симптом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Щоткіна-Блюмберга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Пульс 102 удари за хв. А/т 112/70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Лейкоцитоз 18,2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– 16.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попередній діагноз патологічного стану та можливі причини його виникнення. Визначте додаткові методи дослідження для підтвердження цього діагнозу, та лікувальну тактику.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У хворої 68 років, яка страждає на жовчно-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камяну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хворобу, виник напад гострого холециститу. Спочатку консервативна терапія із застосуванням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спазмолітиків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була ефективною. Однак на 3 добу від початку захворювання знову виник біль у правому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, підвищилася температура тіла до 38,1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При пальпації у правому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визначається інфільтрат. Пульс 98 ударів за хв. А/т 130/80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Лейкоцитоз 17,4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15.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При УЗД наявні конкременти в порожнині жовчного міхура, набряк його стінки з подвійним контуром.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діагноз. Визначте лікувальну тактику.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Хворий 42 років оперований з приводу гострого поширеного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апендикулярного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перитоніту на 4 добу від початку захворювання. Після серединної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лапаротомії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встановлено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гангренозно-перфоративний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апендицит, тотальний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фібринозно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-гнійний перитоніт. Визначте обсяг оперативного втручання та спосіб його завершення.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Хвора 72 років за 3 години до госпіталізації відчула нестерпний біль внизу живота. Протягом багатьох років страждає на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дивертикулярну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хворобу ободової кишки.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При пальпації визначається біль в нижній половині живота, захисне напруження м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язів передньої черевної стінки та позитивний симптом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Щоткіна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Блюмберга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Температура тіла 38,1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Пульс 98 ударів за хв. А/т 130/80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Лейкоцитоз 18,2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19.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оглядовій рентгенографії органів черевної порожнини встановлено помірну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аероентерію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 xml:space="preserve">Встановіть діагноз. Визначте лікувальну тактику, обсяг оперативного втручання та спосіб його завершення.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У хворого 37 років через п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ять тижнів з початку нападу гострого панкреатиту виник локальний біль у лівому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лихоманка, температура тіла підвищилася до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38,7°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При пальпації симптоми подразнення очеревини відсутні. У лівому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підребір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визначається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болючий інфільтрат. Пульс 114 ударів за хв. А/т 120/70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Лейкоцитоз 19,7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21.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УЗД в ділянці хвоста підшлункової залози наявне рідинне утворення з оточуючою його капсулою.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Встановіть діагноз та визначте лікувальну тактику у цього хворого.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 хворого 28 років виник частий стілець до 20 разів протягом доби з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домішком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крові та слизу, підвищилася температура тіла до 38,4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Хворий блідий. Живіт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надутий, має вигляд жаб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ячого, при пальпації болючий у всіх відділах, симптоми подразнення очеревини виражені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Пульс 112 ударів за хв. А/т 110/60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</w:p>
    <w:p w:rsidR="00F64C6E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Еритроцити 2,3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•1012,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гемоглобін 82 г/л, лейкоцитоз 21,3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24.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колоноскопії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у всіх відділах товстої кишки визначаються числен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н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і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псевдополіпи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ерозії та виразки. При УЗД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набряк стінки товстої кишки, помірна кількість рідини у вільній черевній порожнині. Встановіть діагноз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осноного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захворювання та його ускладнення. Визначте лікувальну тактику. </w:t>
      </w:r>
    </w:p>
    <w:p w:rsidR="0084053B" w:rsidRPr="002B094A" w:rsidRDefault="0084053B" w:rsidP="00840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 хворого після виконання низької передньої резекції прямої кишки, формування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колоректального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анастомозу на 5 добу післяопераційного періоду виник помірний біль внизу живота. Живіт надутий у нижній його половині, при пальпації болючий, симптоми подразнення очеревини виражені нечітко, по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дренажам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із порожнини малого тазу виділяється ексудат з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домішком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вмісту товстої кишки. Температура тіла 38,2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°,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пульс 102 удари за хв. А/т 110/60 мм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рт.ст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. Еритроцити 3,8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•1012,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гемоглобін 94 г/л, лейкоцитоз 17,8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•109,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паличкоядерних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нейтрофілів</w:t>
      </w:r>
      <w:proofErr w:type="spellEnd"/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color w:val="000000"/>
          <w:sz w:val="24"/>
          <w:szCs w:val="24"/>
        </w:rPr>
        <w:t>– 18.</w:t>
      </w:r>
      <w:r w:rsidR="00F64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r w:rsidRPr="002B09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Встановіть діагноз. У чому полягатиме особливість оперативного втручання та сп</w:t>
      </w:r>
      <w:r w:rsidR="00F64C6E">
        <w:rPr>
          <w:rFonts w:ascii="Times New Roman CYR" w:hAnsi="Times New Roman CYR" w:cs="Times New Roman CYR"/>
          <w:b/>
          <w:color w:val="000000"/>
          <w:sz w:val="24"/>
          <w:szCs w:val="24"/>
        </w:rPr>
        <w:t>осіб його завершення</w:t>
      </w:r>
      <w:r w:rsidRPr="002B094A">
        <w:rPr>
          <w:rFonts w:ascii="Times New Roman CYR" w:hAnsi="Times New Roman CYR" w:cs="Times New Roman CYR"/>
          <w:b/>
          <w:color w:val="000000"/>
          <w:sz w:val="24"/>
          <w:szCs w:val="24"/>
        </w:rPr>
        <w:t>?</w:t>
      </w:r>
    </w:p>
    <w:p w:rsidR="00F64C6E" w:rsidRDefault="00F64C6E" w:rsidP="006367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1053BA" w:rsidRDefault="001053BA" w:rsidP="006367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</w:t>
      </w:r>
      <w:r w:rsidR="0063671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ести кінцевого рівня знань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9174C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>Хворому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26 років, скаржиться на гострий інтенсивний постійний біль у надчеревній ділянці, який раптово виник 1,5 год тому. Раніше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стаждав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жодне захворювання.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72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ритмічний,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100/60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Язик чистий, сухий. </w:t>
      </w:r>
    </w:p>
    <w:p w:rsidR="00F9174C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Живіт втягнутий, участі в акті дихання не бере, під час пальпації різко напружений і болючий у всіх відділах. Позитивні симптоми подразнення очеревини. Найімовірніший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холецистит.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Перфоративна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виразка.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гастрит.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кишкова непрохідність. </w:t>
      </w:r>
    </w:p>
    <w:p w:rsidR="00F9174C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9174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Хвора скаржиться на біль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жовтушність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шкіри та білкових оболонок очей, світлі випорожнення, темну сечу, температуру тіла ближче до вечора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38 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С, озноб. Хворіє 5 днів. Одразу за медичною допомогою не зверталася. Початок захворювання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язує з фізичним навантаженням. Живіт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>який, болюч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ий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ї, де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пальпується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запальний інфільтрат. Сформулюйте попередній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холецистит,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Рак жовчного міхура,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Злоякісна пухлина печінки, жовтяниця.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Абсцес печінки,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панкреатит,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9174C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>Хворого 43 років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госпіталізовано із скарг</w:t>
      </w:r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ами на повторне блювання, </w:t>
      </w:r>
      <w:proofErr w:type="spellStart"/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>перей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у животі, затримку газів і випорожнень. В анамнезі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F9174C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Стан середнього ступеня тяжкості. Шкіра звичайного кольору.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115/85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Язик сухий. Живіт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здутий, асиметричний. Перистальтика посилена.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Перкуторно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високий тимпаніт над здутим відділом живота. Симптомів подразнення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очеревнини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немає. Найімовірніший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Гостра кишкова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Печінкова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коліка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Ниркова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коліка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Харчове отруєння.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Хворого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28 років, госпіталізовано після ДТП з діагнозом: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Закрита травма живота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Скаржиться на біль у верхніх відділах живота з іррадіацією в ліву надключичну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ділянку.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блідий,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90/50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хв. Притуплення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перкуторного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звуку в пологих відділах живо</w:t>
      </w:r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 xml:space="preserve">та, слабко позитивний симптом </w:t>
      </w:r>
      <w:proofErr w:type="spellStart"/>
      <w:r w:rsidR="00F9174C">
        <w:rPr>
          <w:rFonts w:ascii="Times New Roman CYR" w:hAnsi="Times New Roman CYR" w:cs="Times New Roman CYR"/>
          <w:color w:val="000000"/>
          <w:sz w:val="24"/>
          <w:szCs w:val="24"/>
        </w:rPr>
        <w:t>Щ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откіна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позитивний симптом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Івана-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Покивана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Встановіть попередній діагноз: </w:t>
      </w: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селезінки.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сечового міхура.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Заочеревинна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гематома.</w:t>
      </w:r>
    </w:p>
    <w:p w:rsidR="00605033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Хворого Б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 xml:space="preserve"> 72 рок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госпіталізовано в тяжкому стані із скаргами на здуття живота, біль у животі без чіткої локалізації, що зберігається протягом 3 діб. Загальний стан тяжкий, шкіра та видимі слизові бліді. Язик сухий.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98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100/60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ст. Живіт здутий, болючий в усіх ділянках, наявні нечіткі ознаки п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одразнення очеревини. Під час 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ускультації перистальтичні шуми не вислуховуються. Ректальне дослідження: ампула прямої кишки порожня, на рукавичці лікаря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сліди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янисто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-слизових виділень. Найімовірніший попередній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Загострення виразкової хвороби.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Перфорація порожнистого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Гостра кишкова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Тромбоз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мезентеріальних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Хворого П.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34 роки, госпіталізовано в хірургічне відділення зі скаргами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переймоподібний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у животі, який виник раптово 4 год тому, багаторазове блювання. </w:t>
      </w:r>
    </w:p>
    <w:p w:rsidR="00605033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симетричне здуття живота, посилення перистальтичних шумів. На оглядовій рентгенограмі черевної порожнини, виконаній у положенні хворого стоячи,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міжчеревній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множинні горизонтальні рівні р</w:t>
      </w:r>
      <w:proofErr w:type="spellStart"/>
      <w:r w:rsidR="0060503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дини зі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скопиченням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над ними газу (ширина горизонтальних рівнів рідини більша, ніж висота стовпів газу). Встановіть попередній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товстокишкова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товстокишкова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74 роки, госпіталізовано в хірургічне відділення з клінікою защемленої правобічної пахвинної грижі. У стаціонарі хворий самостійно вправив грижу. Через 18 год стан хворого тяжкий,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язик сухий, живіт у нижніх відділах болючий, здутий, симптом подразнення очеревини позитивний. Встановіть діагноз: </w:t>
      </w: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панкреатит, перитоніт.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Флегмона грижового мішка.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апендицит, перитоніт.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605033" w:rsidRPr="00605033">
        <w:rPr>
          <w:rFonts w:ascii="Times New Roman" w:hAnsi="Times New Roman" w:cs="Times New Roman"/>
          <w:color w:val="000000"/>
          <w:sz w:val="24"/>
          <w:szCs w:val="24"/>
        </w:rPr>
        <w:t xml:space="preserve">Самостійне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вправлення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грижі, перфорація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кишки, перитоніт.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холецистит, перитоніт.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орий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38 років, скаржиться на різкий раптовий біль у надчеревній ділянці, одноразове блювання. Хворий зазначає, що напередодні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їв гамбургер з кока-колою. </w:t>
      </w:r>
    </w:p>
    <w:p w:rsidR="00605033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100/60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позитивний. Під час пальпації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напруження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язів передньої че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ревної стінки, розлита болюч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ість, кишкові шуми відсутні. На оглядовій рентгенограмі органів черевної порожнини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вільний газ у черевній порожнині. Встановіть попередній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Перфорація виразки дванадцятипалої кишки.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аневризми черевної аорти.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Ішемія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Пенетрація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панкреатит.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5033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5033">
        <w:rPr>
          <w:rFonts w:ascii="Times New Roman CYR" w:hAnsi="Times New Roman CYR" w:cs="Times New Roman CYR"/>
          <w:color w:val="000000"/>
          <w:sz w:val="24"/>
          <w:szCs w:val="24"/>
        </w:rPr>
        <w:t>Хворого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34 роки, госпіталізовано зі скаргами на сильний біль у животі, що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явився раптово 4 год тому. Стан хворого тяжкий. Шкіра бліда, вкрита холодним потом,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78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хв. Язик вологий, обкладений білим нальотом.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Дошкоподібний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живіт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 і в правій половині живота позитивний симптом подразнення очеревини. Печінкова тупість не визначається. Встановіть діагноз: </w:t>
      </w: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холецистит.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Перфоративна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виразка дванадцятипалої кишки.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Кишкова непрохідність.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апендицит.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3EDC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F73EDC">
        <w:rPr>
          <w:rFonts w:ascii="Times New Roman CYR" w:hAnsi="Times New Roman CYR" w:cs="Times New Roman CYR"/>
          <w:color w:val="000000"/>
          <w:sz w:val="24"/>
          <w:szCs w:val="24"/>
        </w:rPr>
        <w:t>Хвора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18 років, з надлишковою масою тіла скаржиться на біль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ї, що іррадіює в праве надпліччя, гіркоту в роті, нудоту, одноразове блювання.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Захворювання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язує зі споживанням жирної їжі.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язик сухий, обкладений білим нальотом. Живіт симетричний, бере участь в акті дихання. Під час пальпації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напруження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язів передньої черевної стінки та виражена болючість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ї. </w:t>
      </w:r>
    </w:p>
    <w:p w:rsidR="00605033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Встановіть попередній діагноз: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апендицит.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холецистит.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гепатит.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гастрит.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Гостра кишкова непрохідність.</w:t>
      </w:r>
    </w:p>
    <w:p w:rsidR="0063671B" w:rsidRDefault="00F73EDC" w:rsidP="00F7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Література:</w:t>
      </w:r>
    </w:p>
    <w:p w:rsidR="001053BA" w:rsidRDefault="001053BA" w:rsidP="00F73E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Основна: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Хірургія: підручник / За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Березницького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Я.С.,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Мішалова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Шідловського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Дніпропетровськ: Дніпро-УАЬ, 2007.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Лекції з госпітальної хірургії: навчальний посібник / За ред. професора В.Г.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Мішалова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— 2-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 вид.,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доповн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і перероб.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3-х т.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Т.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К.: Видавничий дім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Асканія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2008. — 287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1053BA" w:rsidRDefault="001053BA" w:rsidP="00F73E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Додаткова: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Ковальчук А.Я.,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Спіженко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Саєнко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В.Ф.,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Книшов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Г.В., Нечитайло М.Ю. Шпитальна хірургія.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Тернопіль: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Укрмедкнига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1999.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болезни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М.И. Кузина.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2005.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784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Шідловський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В.О.,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М.П., Полянський І.Ю. та ін. Факультетська хірургія / За ред. 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В.О.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Шідловського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М.П.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Тернопіль: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Укрмедкнига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2002. 544 с.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руководство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врачей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студентов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д-ра мед. наук Ю.М.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Лопухина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д-ра мед. наук В.С.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Савельева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Пер.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англ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М.: ГЗОТАР Медицина, 1998. 1074 с.().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Шалимов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А.А.,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Доманский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желчньїх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К.: 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1975. — 408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Гринберг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Неотложная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абдоминальная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Триада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-Х, 2000.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493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Клиническая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Л.В. Усенко, Я.С.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Березницкого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К.; 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я, 1999.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496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1053BA" w:rsidRDefault="001053BA" w:rsidP="001053BA">
      <w:pPr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Радзіховський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А.П., Бабенко В.І. Невідкладна хірургія органів черевної порожнини.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К.: Фенікс, 2002.</w:t>
      </w:r>
    </w:p>
    <w:p w:rsidR="0063671B" w:rsidRDefault="0063671B" w:rsidP="001053BA">
      <w:pPr>
        <w:ind w:firstLine="567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вказівку розробив                                                              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З. М.</w:t>
      </w:r>
    </w:p>
    <w:sectPr w:rsidR="0063671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47" w:rsidRDefault="004F4D47" w:rsidP="0063671B">
      <w:pPr>
        <w:spacing w:after="0" w:line="240" w:lineRule="auto"/>
      </w:pPr>
      <w:r>
        <w:separator/>
      </w:r>
    </w:p>
  </w:endnote>
  <w:endnote w:type="continuationSeparator" w:id="0">
    <w:p w:rsidR="004F4D47" w:rsidRDefault="004F4D47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125629"/>
      <w:docPartObj>
        <w:docPartGallery w:val="Page Numbers (Bottom of Page)"/>
        <w:docPartUnique/>
      </w:docPartObj>
    </w:sdtPr>
    <w:sdtEndPr/>
    <w:sdtContent>
      <w:p w:rsidR="0063671B" w:rsidRDefault="006367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C6E">
          <w:rPr>
            <w:noProof/>
          </w:rPr>
          <w:t>7</w:t>
        </w:r>
        <w:r>
          <w:fldChar w:fldCharType="end"/>
        </w:r>
      </w:p>
    </w:sdtContent>
  </w:sdt>
  <w:p w:rsidR="0063671B" w:rsidRDefault="00636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47" w:rsidRDefault="004F4D47" w:rsidP="0063671B">
      <w:pPr>
        <w:spacing w:after="0" w:line="240" w:lineRule="auto"/>
      </w:pPr>
      <w:r>
        <w:separator/>
      </w:r>
    </w:p>
  </w:footnote>
  <w:footnote w:type="continuationSeparator" w:id="0">
    <w:p w:rsidR="004F4D47" w:rsidRDefault="004F4D47" w:rsidP="00636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13"/>
    <w:rsid w:val="001053BA"/>
    <w:rsid w:val="00193488"/>
    <w:rsid w:val="002B094A"/>
    <w:rsid w:val="00311013"/>
    <w:rsid w:val="004605E1"/>
    <w:rsid w:val="004F4D47"/>
    <w:rsid w:val="00605033"/>
    <w:rsid w:val="0063671B"/>
    <w:rsid w:val="0084053B"/>
    <w:rsid w:val="00915730"/>
    <w:rsid w:val="00F64C6E"/>
    <w:rsid w:val="00F73EDC"/>
    <w:rsid w:val="00F9174C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740"/>
  <w15:chartTrackingRefBased/>
  <w15:docId w15:val="{B454A142-633A-499E-A95A-41248BE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7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3671B"/>
  </w:style>
  <w:style w:type="paragraph" w:styleId="a5">
    <w:name w:val="footer"/>
    <w:basedOn w:val="a"/>
    <w:link w:val="a6"/>
    <w:uiPriority w:val="99"/>
    <w:unhideWhenUsed/>
    <w:rsid w:val="006367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12325</Words>
  <Characters>7026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2024-09-22T18:44:00Z</dcterms:created>
  <dcterms:modified xsi:type="dcterms:W3CDTF">2024-10-05T10:37:00Z</dcterms:modified>
</cp:coreProperties>
</file>